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  <w:t>T.C.</w:t>
      </w: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  <w:t>BAĞCILAR KAYMAKAMLIĞI</w:t>
      </w: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  <w:t>İNÖNÜ ORTAOKULU MÜDÜRLÜĞÜ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  <w:t>2019-2023</w:t>
      </w: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  <w:t>STRATEJİK PLANI</w:t>
      </w: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noProof/>
          <w:sz w:val="32"/>
          <w:szCs w:val="32"/>
          <w:lang w:eastAsia="tr-TR"/>
        </w:rPr>
        <w:t>ARALIK 2019</w:t>
      </w:r>
      <w:r w:rsidRPr="00542119"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  <w:br w:type="page"/>
      </w:r>
      <w:bookmarkStart w:id="0" w:name="_GoBack"/>
      <w:r w:rsidRPr="00542119"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  <w:lastRenderedPageBreak/>
        <w:drawing>
          <wp:inline distT="0" distB="0" distL="0" distR="0" wp14:anchorId="31787941" wp14:editId="75D077B2">
            <wp:extent cx="8829675" cy="5314950"/>
            <wp:effectExtent l="19050" t="0" r="9525" b="0"/>
            <wp:docPr id="1" name="Resim 1" descr="atatürk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noProof/>
          <w:sz w:val="24"/>
          <w:szCs w:val="21"/>
          <w:lang w:eastAsia="tr-TR"/>
        </w:rPr>
      </w:pPr>
    </w:p>
    <w:p w:rsidR="00542119" w:rsidRPr="00542119" w:rsidRDefault="00542119" w:rsidP="00542119">
      <w:pPr>
        <w:keepNext/>
        <w:keepLines/>
        <w:spacing w:before="360" w:after="360" w:line="360" w:lineRule="auto"/>
        <w:outlineLvl w:val="0"/>
        <w:rPr>
          <w:rFonts w:ascii="Book Antiqua" w:eastAsia="SimSun" w:hAnsi="Book Antiqua" w:cs="Times New Roman"/>
          <w:b/>
          <w:color w:val="00B0F0"/>
          <w:sz w:val="24"/>
          <w:szCs w:val="40"/>
          <w:lang w:eastAsia="tr-TR"/>
        </w:rPr>
      </w:pPr>
      <w:r w:rsidRPr="00542119">
        <w:rPr>
          <w:rFonts w:ascii="Book Antiqua" w:eastAsia="SimSun" w:hAnsi="Book Antiqua" w:cs="Times New Roman"/>
          <w:b/>
          <w:bCs/>
          <w:noProof/>
          <w:color w:val="00B0F0"/>
          <w:sz w:val="24"/>
          <w:szCs w:val="40"/>
          <w:lang w:eastAsia="tr-TR"/>
        </w:rPr>
        <w:br w:type="page"/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Gelişimin ve değişimin hızlı yaşandığı bu yıllarda stratejisi olmayan devlet, kurum veya şahısların, içinde bulunduğu ortamdan karlı bir şekilde çıkamayacağı muhakkaktır. Stratejiler, uygulayıcılarına yaptıkları çalışmalarda başarılı olmalarını sağlayacak yegâne unsurlardır.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ab/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5018 Sayılı Kamu Mali Yönetim ve Kontrolü Kanunu ile birlikte her kurumun stratejik planını yapması mecburi hale gelmiştir.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Biz, İnönü Ortaokulu Müdürlüğü olarak stratejik planımızı hazırlarken, bu planı pusulamız olarak düşünüp, onun gösterdiği yolda ilerleyerek başarılı olmayı hedefleyen bir </w:t>
      </w:r>
      <w:proofErr w:type="gramStart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misyona</w:t>
      </w:r>
      <w:proofErr w:type="gramEnd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 sahip olma arzusu içerisindeyiz.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Biliyoruz ki; “Başarı planlayarak, plan doğrultusunda çalışarak elde edilir. ”Bu gayretle öğrencilerimizin okula gelmeyi eve gitmekten daha mutluluk vereceği bir iş olarak düşünmeleri için, çok çalışmayı </w:t>
      </w:r>
      <w:proofErr w:type="gramStart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vizyonumuz</w:t>
      </w:r>
      <w:proofErr w:type="gramEnd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 edinmekteyiz.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İnönü Ortaokulu Stratejik Planı (2019-2023)’de belirtilen amaç ve hedeflere ulaşmamızın Okulumuzun gelişme ve kurumsallaşma süreçlerine önemli katkılar sağlayacağına inanmaktayız. Planın hazırlanmasında emeği geçen Okul Kalite Kurulu </w:t>
      </w:r>
      <w:proofErr w:type="spellStart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Ekibi’ne</w:t>
      </w:r>
      <w:proofErr w:type="spellEnd"/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, öğretmen, öğrenci ve velilerimize teşekkür ederim.</w:t>
      </w:r>
    </w:p>
    <w:p w:rsidR="00542119" w:rsidRPr="00542119" w:rsidRDefault="00542119" w:rsidP="00542119">
      <w:pPr>
        <w:spacing w:after="160" w:line="300" w:lineRule="auto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119" w:rsidRPr="00542119" w:rsidRDefault="00542119" w:rsidP="00542119">
      <w:pPr>
        <w:spacing w:after="160" w:line="300" w:lineRule="auto"/>
        <w:rPr>
          <w:rFonts w:ascii="Book Antiqua" w:eastAsia="Adobe Garamond Pro Bold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Adobe Garamond Pro Bold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rPr>
          <w:rFonts w:ascii="Book Antiqua" w:eastAsia="Adobe Garamond Pro Bold" w:hAnsi="Book Antiqua" w:cs="Times New Roman"/>
          <w:sz w:val="24"/>
          <w:szCs w:val="21"/>
          <w:lang w:eastAsia="tr-TR"/>
        </w:rPr>
      </w:pP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Times New Roman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Times New Roman" w:hAnsi="Book Antiqua" w:cs="Times New Roman"/>
          <w:sz w:val="24"/>
          <w:szCs w:val="21"/>
          <w:lang w:eastAsia="tr-TR"/>
        </w:rPr>
        <w:t>YASİN TOPÇU</w:t>
      </w:r>
    </w:p>
    <w:p w:rsidR="00542119" w:rsidRPr="00542119" w:rsidRDefault="00542119" w:rsidP="00542119">
      <w:pPr>
        <w:spacing w:after="160" w:line="300" w:lineRule="auto"/>
        <w:jc w:val="center"/>
        <w:rPr>
          <w:rFonts w:ascii="Book Antiqua" w:eastAsia="Adobe Garamond Pro Bold" w:hAnsi="Book Antiqua" w:cs="Times New Roman"/>
          <w:sz w:val="24"/>
          <w:szCs w:val="21"/>
          <w:lang w:eastAsia="tr-TR"/>
        </w:rPr>
      </w:pPr>
      <w:r w:rsidRPr="00542119">
        <w:rPr>
          <w:rFonts w:ascii="Book Antiqua" w:eastAsia="Adobe Garamond Pro Bold" w:hAnsi="Book Antiqua" w:cs="Times New Roman"/>
          <w:sz w:val="24"/>
          <w:szCs w:val="21"/>
          <w:lang w:eastAsia="tr-TR"/>
        </w:rPr>
        <w:t>Okul Müdürü</w:t>
      </w:r>
    </w:p>
    <w:p w:rsidR="00542119" w:rsidRPr="00542119" w:rsidRDefault="00542119" w:rsidP="00542119">
      <w:pPr>
        <w:keepNext/>
        <w:keepLines/>
        <w:spacing w:before="360" w:after="360" w:line="360" w:lineRule="auto"/>
        <w:outlineLvl w:val="0"/>
        <w:rPr>
          <w:rFonts w:ascii="Book Antiqua" w:eastAsia="Adobe Garamond Pro Bold" w:hAnsi="Book Antiqua" w:cs="Times New Roman"/>
          <w:b/>
          <w:bCs/>
          <w:color w:val="00B0F0"/>
          <w:spacing w:val="-4"/>
          <w:sz w:val="28"/>
          <w:szCs w:val="40"/>
          <w:lang w:eastAsia="tr-TR"/>
        </w:rPr>
      </w:pPr>
      <w:r w:rsidRPr="00542119">
        <w:rPr>
          <w:rFonts w:ascii="Book Antiqua" w:eastAsia="Adobe Garamond Pro Bold" w:hAnsi="Book Antiqua" w:cs="Times New Roman"/>
          <w:b/>
          <w:bCs/>
          <w:color w:val="00B0F0"/>
          <w:spacing w:val="-4"/>
          <w:sz w:val="28"/>
          <w:szCs w:val="40"/>
          <w:lang w:eastAsia="tr-TR"/>
        </w:rPr>
        <w:br w:type="page"/>
      </w:r>
    </w:p>
    <w:p w:rsidR="00D16230" w:rsidRDefault="00D16230"/>
    <w:sectPr w:rsidR="00D1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9"/>
    <w:rsid w:val="00542119"/>
    <w:rsid w:val="00D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dcterms:created xsi:type="dcterms:W3CDTF">2021-10-20T09:54:00Z</dcterms:created>
  <dcterms:modified xsi:type="dcterms:W3CDTF">2021-10-20T09:55:00Z</dcterms:modified>
</cp:coreProperties>
</file>